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C30F" w14:textId="77777777" w:rsidR="006E0F4F" w:rsidRPr="008B6C61" w:rsidRDefault="006E0F4F" w:rsidP="006E0F4F">
      <w:pPr>
        <w:ind w:left="-142"/>
        <w:jc w:val="center"/>
        <w:rPr>
          <w:b/>
          <w:sz w:val="28"/>
        </w:rPr>
      </w:pPr>
      <w:r>
        <w:rPr>
          <w:b/>
          <w:sz w:val="28"/>
        </w:rPr>
        <w:t>Appendix A</w:t>
      </w:r>
    </w:p>
    <w:p w14:paraId="19ED0412" w14:textId="77777777" w:rsidR="006E0F4F" w:rsidRDefault="006E0F4F" w:rsidP="006E0F4F">
      <w:pPr>
        <w:ind w:left="-142"/>
        <w:jc w:val="center"/>
        <w:rPr>
          <w:b/>
          <w:sz w:val="28"/>
        </w:rPr>
      </w:pPr>
      <w:r>
        <w:rPr>
          <w:b/>
          <w:sz w:val="28"/>
        </w:rPr>
        <w:t xml:space="preserve">Draft </w:t>
      </w:r>
      <w:r w:rsidRPr="008B6C61">
        <w:rPr>
          <w:b/>
          <w:sz w:val="28"/>
        </w:rPr>
        <w:t xml:space="preserve">Cabinet response to </w:t>
      </w:r>
      <w:r>
        <w:rPr>
          <w:b/>
          <w:sz w:val="28"/>
        </w:rPr>
        <w:t xml:space="preserve">recommendations of the </w:t>
      </w:r>
    </w:p>
    <w:p w14:paraId="34C1F66A" w14:textId="77777777" w:rsidR="006E0F4F" w:rsidRDefault="006E0F4F" w:rsidP="006E0F4F">
      <w:pPr>
        <w:ind w:left="-142"/>
        <w:jc w:val="center"/>
        <w:rPr>
          <w:b/>
          <w:sz w:val="28"/>
        </w:rPr>
      </w:pPr>
      <w:r>
        <w:rPr>
          <w:b/>
          <w:sz w:val="28"/>
        </w:rPr>
        <w:t>Budget Review Group of the Scrutiny Committee</w:t>
      </w:r>
    </w:p>
    <w:p w14:paraId="602A3CB9" w14:textId="77777777" w:rsidR="00803FCC" w:rsidRPr="008B6C61" w:rsidRDefault="00803FCC" w:rsidP="00803FCC">
      <w:pPr>
        <w:ind w:left="-142"/>
        <w:jc w:val="center"/>
        <w:rPr>
          <w:b/>
          <w:sz w:val="28"/>
        </w:rPr>
      </w:pPr>
    </w:p>
    <w:p w14:paraId="431CE2D7" w14:textId="77777777" w:rsidR="006E0F4F" w:rsidRPr="008B6C61" w:rsidRDefault="006E0F4F" w:rsidP="006E0F4F">
      <w:r w:rsidRPr="008B6C61">
        <w:t xml:space="preserve">The document sets out the draft response of the Cabinet Member </w:t>
      </w:r>
      <w:r>
        <w:t xml:space="preserve">to recommendations made </w:t>
      </w:r>
      <w:r w:rsidRPr="008B6C61">
        <w:t xml:space="preserve">by the </w:t>
      </w:r>
      <w:r>
        <w:t xml:space="preserve">Budget Review Group and endorsed by the </w:t>
      </w:r>
      <w:r w:rsidRPr="008B6C61">
        <w:t xml:space="preserve">Scrutiny Committee on </w:t>
      </w:r>
      <w:r>
        <w:t>06 February 2024 concerning the Scrutiny Budget Review 2024/25</w:t>
      </w:r>
      <w:r w:rsidRPr="008B6C61">
        <w:t xml:space="preserve">. </w:t>
      </w:r>
      <w:r>
        <w:t xml:space="preserve">The Cabinet is asked to amend and agree a formal response as appropriate. </w:t>
      </w:r>
    </w:p>
    <w:p w14:paraId="71DC837C" w14:textId="77777777"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14:paraId="29E69FAD" w14:textId="77777777" w:rsidTr="00634DE4">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AD2D60" w14:textId="77777777"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B28322" w14:textId="77777777"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5D7F39" w14:textId="77777777" w:rsidR="00043375" w:rsidRPr="00043375" w:rsidRDefault="00043375">
            <w:pPr>
              <w:rPr>
                <w:b/>
                <w:i/>
              </w:rPr>
            </w:pPr>
            <w:r w:rsidRPr="00043375">
              <w:rPr>
                <w:b/>
                <w:i/>
              </w:rPr>
              <w:t>Comment</w:t>
            </w:r>
          </w:p>
        </w:tc>
      </w:tr>
      <w:tr w:rsidR="00043375" w:rsidRPr="00043375" w14:paraId="472D8117"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14:paraId="0F886DF7" w14:textId="398F028C" w:rsidR="00043375" w:rsidRPr="00ED3286" w:rsidRDefault="006E0F4F" w:rsidP="00AF05DF">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B9709F">
              <w:rPr>
                <w:rFonts w:ascii="Arial" w:hAnsi="Arial" w:cs="Arial"/>
                <w:bCs/>
                <w:color w:val="auto"/>
              </w:rPr>
              <w:t>That the Council sets out the net savings it is aiming to achieve in respect of the Council Tax Reduction Scheme from 01 April 2025 onwards, then models several alternate scenarios as to how those savings might be achieved and consults, without expressing the Council’s preference on which</w:t>
            </w:r>
            <w:r>
              <w:rPr>
                <w:rFonts w:ascii="Arial" w:hAnsi="Arial" w:cs="Arial"/>
                <w:bCs/>
                <w:color w:val="auto"/>
              </w:rPr>
              <w:t>, if any,</w:t>
            </w:r>
            <w:r w:rsidRPr="00B9709F">
              <w:rPr>
                <w:rFonts w:ascii="Arial" w:hAnsi="Arial" w:cs="Arial"/>
                <w:bCs/>
                <w:color w:val="auto"/>
              </w:rPr>
              <w:t xml:space="preserve"> </w:t>
            </w:r>
            <w:r>
              <w:rPr>
                <w:rFonts w:ascii="Arial" w:hAnsi="Arial" w:cs="Arial"/>
                <w:bCs/>
                <w:color w:val="auto"/>
              </w:rPr>
              <w:t xml:space="preserve">of these </w:t>
            </w:r>
            <w:r w:rsidRPr="00B9709F">
              <w:rPr>
                <w:rFonts w:ascii="Arial" w:hAnsi="Arial" w:cs="Arial"/>
                <w:bCs/>
                <w:color w:val="auto"/>
              </w:rPr>
              <w:t>alternate scenarios should be pursued when the Council Tax Reduction Scheme goes out to public consultation.</w:t>
            </w:r>
          </w:p>
        </w:tc>
        <w:tc>
          <w:tcPr>
            <w:tcW w:w="1134" w:type="dxa"/>
            <w:tcBorders>
              <w:top w:val="single" w:sz="4" w:space="0" w:color="auto"/>
              <w:left w:val="single" w:sz="4" w:space="0" w:color="auto"/>
              <w:bottom w:val="single" w:sz="4" w:space="0" w:color="auto"/>
              <w:right w:val="single" w:sz="4" w:space="0" w:color="auto"/>
            </w:tcBorders>
          </w:tcPr>
          <w:p w14:paraId="7FEF6675" w14:textId="77777777" w:rsidR="00043375" w:rsidRPr="00043375" w:rsidRDefault="00043375"/>
        </w:tc>
        <w:tc>
          <w:tcPr>
            <w:tcW w:w="6520" w:type="dxa"/>
            <w:tcBorders>
              <w:top w:val="single" w:sz="4" w:space="0" w:color="auto"/>
              <w:left w:val="single" w:sz="4" w:space="0" w:color="auto"/>
              <w:bottom w:val="single" w:sz="4" w:space="0" w:color="auto"/>
              <w:right w:val="single" w:sz="4" w:space="0" w:color="auto"/>
            </w:tcBorders>
          </w:tcPr>
          <w:p w14:paraId="1E3A8C85" w14:textId="77777777" w:rsidR="00043375" w:rsidRPr="00043375" w:rsidRDefault="00043375"/>
        </w:tc>
      </w:tr>
      <w:tr w:rsidR="00043375" w:rsidRPr="00043375" w14:paraId="5499B2AA"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14:paraId="37BE20BA" w14:textId="6BE443C9" w:rsidR="00835A37" w:rsidRPr="00A10C33" w:rsidRDefault="006E0F4F" w:rsidP="00A10C33">
            <w:pPr>
              <w:pStyle w:val="ListParagraph"/>
              <w:numPr>
                <w:ilvl w:val="0"/>
                <w:numId w:val="2"/>
              </w:numPr>
              <w:tabs>
                <w:tab w:val="left" w:pos="720"/>
              </w:tabs>
              <w:spacing w:after="160" w:line="252" w:lineRule="auto"/>
              <w:contextualSpacing/>
            </w:pPr>
            <w:r w:rsidRPr="00B9709F">
              <w:rPr>
                <w:rFonts w:ascii="Arial" w:hAnsi="Arial" w:cs="Arial"/>
                <w:bCs/>
                <w:color w:val="auto"/>
              </w:rPr>
              <w:t>That the Council continues to pursue conversations with the owner of Golden Cross to negotiate the opening of their gate to enable access to the Covered Market from Cornmarket during late night opening.</w:t>
            </w:r>
          </w:p>
        </w:tc>
        <w:tc>
          <w:tcPr>
            <w:tcW w:w="1134" w:type="dxa"/>
            <w:tcBorders>
              <w:top w:val="single" w:sz="4" w:space="0" w:color="auto"/>
              <w:left w:val="single" w:sz="4" w:space="0" w:color="auto"/>
              <w:bottom w:val="single" w:sz="4" w:space="0" w:color="auto"/>
              <w:right w:val="single" w:sz="4" w:space="0" w:color="auto"/>
            </w:tcBorders>
          </w:tcPr>
          <w:p w14:paraId="13FA6374" w14:textId="77777777" w:rsidR="00043375" w:rsidRPr="00043375" w:rsidRDefault="00043375"/>
        </w:tc>
        <w:tc>
          <w:tcPr>
            <w:tcW w:w="6520" w:type="dxa"/>
            <w:tcBorders>
              <w:top w:val="single" w:sz="4" w:space="0" w:color="auto"/>
              <w:left w:val="single" w:sz="4" w:space="0" w:color="auto"/>
              <w:bottom w:val="single" w:sz="4" w:space="0" w:color="auto"/>
              <w:right w:val="single" w:sz="4" w:space="0" w:color="auto"/>
            </w:tcBorders>
          </w:tcPr>
          <w:p w14:paraId="07C6117E" w14:textId="77777777" w:rsidR="00043375" w:rsidRPr="00043375" w:rsidRDefault="00043375" w:rsidP="00803FCC"/>
        </w:tc>
      </w:tr>
      <w:tr w:rsidR="00043375" w:rsidRPr="00043375" w14:paraId="1454A833"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14:paraId="2767FDD3" w14:textId="1E69B3D0" w:rsidR="00043375" w:rsidRPr="00ED3286" w:rsidRDefault="006E0F4F" w:rsidP="00634DE4">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FA26F1">
              <w:rPr>
                <w:rFonts w:ascii="Arial" w:hAnsi="Arial" w:cs="Arial"/>
                <w:bCs/>
              </w:rPr>
              <w:t>That the Council seeks to introduce a charge for 0-1 hours of parking at park and rides and factors projections into the Medium Term Financial Plan about the level of income this would raise.</w:t>
            </w:r>
          </w:p>
        </w:tc>
        <w:tc>
          <w:tcPr>
            <w:tcW w:w="1134" w:type="dxa"/>
            <w:tcBorders>
              <w:top w:val="single" w:sz="4" w:space="0" w:color="auto"/>
              <w:left w:val="single" w:sz="4" w:space="0" w:color="auto"/>
              <w:bottom w:val="single" w:sz="4" w:space="0" w:color="auto"/>
              <w:right w:val="single" w:sz="4" w:space="0" w:color="auto"/>
            </w:tcBorders>
          </w:tcPr>
          <w:p w14:paraId="5B8147DD" w14:textId="77777777" w:rsidR="00043375" w:rsidRPr="00043375" w:rsidRDefault="00043375"/>
        </w:tc>
        <w:tc>
          <w:tcPr>
            <w:tcW w:w="6520" w:type="dxa"/>
            <w:tcBorders>
              <w:top w:val="single" w:sz="4" w:space="0" w:color="auto"/>
              <w:left w:val="single" w:sz="4" w:space="0" w:color="auto"/>
              <w:bottom w:val="single" w:sz="4" w:space="0" w:color="auto"/>
              <w:right w:val="single" w:sz="4" w:space="0" w:color="auto"/>
            </w:tcBorders>
          </w:tcPr>
          <w:p w14:paraId="09AEDCAE" w14:textId="77777777" w:rsidR="00043375" w:rsidRPr="00043375" w:rsidRDefault="00043375">
            <w:pPr>
              <w:spacing w:before="100" w:beforeAutospacing="1" w:after="100" w:afterAutospacing="1"/>
            </w:pPr>
          </w:p>
        </w:tc>
      </w:tr>
      <w:tr w:rsidR="006E0F4F" w:rsidRPr="00043375" w14:paraId="64C91547" w14:textId="77777777" w:rsidTr="001D5BD4">
        <w:trPr>
          <w:trHeight w:val="699"/>
        </w:trPr>
        <w:tc>
          <w:tcPr>
            <w:tcW w:w="6629" w:type="dxa"/>
            <w:tcBorders>
              <w:top w:val="single" w:sz="4" w:space="0" w:color="auto"/>
              <w:left w:val="single" w:sz="4" w:space="0" w:color="auto"/>
              <w:bottom w:val="single" w:sz="4" w:space="0" w:color="auto"/>
              <w:right w:val="single" w:sz="4" w:space="0" w:color="auto"/>
            </w:tcBorders>
          </w:tcPr>
          <w:p w14:paraId="64D7AF1A" w14:textId="4DE0AF6A" w:rsidR="006E0F4F" w:rsidRPr="00FA26F1" w:rsidRDefault="006E0F4F" w:rsidP="00634DE4">
            <w:pPr>
              <w:pStyle w:val="ListParagraph"/>
              <w:numPr>
                <w:ilvl w:val="0"/>
                <w:numId w:val="2"/>
              </w:numPr>
              <w:tabs>
                <w:tab w:val="clear" w:pos="426"/>
                <w:tab w:val="left" w:pos="720"/>
              </w:tabs>
              <w:spacing w:after="160" w:line="252" w:lineRule="auto"/>
              <w:contextualSpacing/>
              <w:rPr>
                <w:rFonts w:ascii="Arial" w:hAnsi="Arial" w:cs="Arial"/>
                <w:bCs/>
              </w:rPr>
            </w:pPr>
            <w:r w:rsidRPr="00B9709F">
              <w:rPr>
                <w:rFonts w:ascii="Arial" w:hAnsi="Arial" w:cs="Arial"/>
                <w:bCs/>
                <w:color w:val="auto"/>
              </w:rPr>
              <w:t xml:space="preserve">That the Council ensures adequate opportunities for cross-party Member involvement in the Strategic Review </w:t>
            </w:r>
            <w:r w:rsidRPr="00B9709F">
              <w:rPr>
                <w:rFonts w:ascii="Arial" w:hAnsi="Arial" w:cs="Arial"/>
                <w:bCs/>
                <w:color w:val="auto"/>
              </w:rPr>
              <w:lastRenderedPageBreak/>
              <w:t xml:space="preserve">of Services Provided </w:t>
            </w:r>
            <w:r>
              <w:rPr>
                <w:rFonts w:ascii="Arial" w:hAnsi="Arial" w:cs="Arial"/>
                <w:bCs/>
                <w:color w:val="auto"/>
              </w:rPr>
              <w:t>across</w:t>
            </w:r>
            <w:r w:rsidRPr="00B9709F">
              <w:rPr>
                <w:rFonts w:ascii="Arial" w:hAnsi="Arial" w:cs="Arial"/>
                <w:bCs/>
                <w:color w:val="auto"/>
              </w:rPr>
              <w:t xml:space="preserve"> Community Services from an early stage to facilitate meaningful Member input.</w:t>
            </w:r>
          </w:p>
        </w:tc>
        <w:tc>
          <w:tcPr>
            <w:tcW w:w="1134" w:type="dxa"/>
            <w:tcBorders>
              <w:top w:val="single" w:sz="4" w:space="0" w:color="auto"/>
              <w:left w:val="single" w:sz="4" w:space="0" w:color="auto"/>
              <w:bottom w:val="single" w:sz="4" w:space="0" w:color="auto"/>
              <w:right w:val="single" w:sz="4" w:space="0" w:color="auto"/>
            </w:tcBorders>
          </w:tcPr>
          <w:p w14:paraId="4165640B" w14:textId="77777777" w:rsidR="006E0F4F" w:rsidRPr="00043375" w:rsidRDefault="006E0F4F"/>
        </w:tc>
        <w:tc>
          <w:tcPr>
            <w:tcW w:w="6520" w:type="dxa"/>
            <w:tcBorders>
              <w:top w:val="single" w:sz="4" w:space="0" w:color="auto"/>
              <w:left w:val="single" w:sz="4" w:space="0" w:color="auto"/>
              <w:bottom w:val="single" w:sz="4" w:space="0" w:color="auto"/>
              <w:right w:val="single" w:sz="4" w:space="0" w:color="auto"/>
            </w:tcBorders>
          </w:tcPr>
          <w:p w14:paraId="69BBCD8A" w14:textId="77777777" w:rsidR="006E0F4F" w:rsidRPr="00043375" w:rsidRDefault="006E0F4F">
            <w:pPr>
              <w:spacing w:before="100" w:beforeAutospacing="1" w:after="100" w:afterAutospacing="1"/>
            </w:pPr>
          </w:p>
        </w:tc>
      </w:tr>
      <w:tr w:rsidR="006E0F4F" w:rsidRPr="00043375" w14:paraId="12B0C6A3"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tcPr>
          <w:p w14:paraId="1B7A0A61" w14:textId="414EA85C" w:rsidR="006E0F4F" w:rsidRPr="00FA26F1" w:rsidRDefault="006E0F4F" w:rsidP="00634DE4">
            <w:pPr>
              <w:pStyle w:val="ListParagraph"/>
              <w:numPr>
                <w:ilvl w:val="0"/>
                <w:numId w:val="2"/>
              </w:numPr>
              <w:tabs>
                <w:tab w:val="clear" w:pos="426"/>
                <w:tab w:val="left" w:pos="720"/>
              </w:tabs>
              <w:spacing w:after="160" w:line="252" w:lineRule="auto"/>
              <w:contextualSpacing/>
              <w:rPr>
                <w:rFonts w:ascii="Arial" w:hAnsi="Arial" w:cs="Arial"/>
                <w:bCs/>
              </w:rPr>
            </w:pPr>
            <w:r w:rsidRPr="00B9709F">
              <w:rPr>
                <w:rFonts w:ascii="Arial" w:hAnsi="Arial" w:cs="Arial"/>
                <w:bCs/>
                <w:color w:val="auto"/>
              </w:rPr>
              <w:t xml:space="preserve">That the Council facilitates meaningful and representative co-production with communities in shaping the Strategic Review of Services Provided </w:t>
            </w:r>
            <w:r>
              <w:rPr>
                <w:rFonts w:ascii="Arial" w:hAnsi="Arial" w:cs="Arial"/>
                <w:bCs/>
                <w:color w:val="auto"/>
              </w:rPr>
              <w:t>across</w:t>
            </w:r>
            <w:r w:rsidRPr="00B9709F">
              <w:rPr>
                <w:rFonts w:ascii="Arial" w:hAnsi="Arial" w:cs="Arial"/>
                <w:bCs/>
                <w:color w:val="auto"/>
              </w:rPr>
              <w:t xml:space="preserve"> Community Services and its outcomes.</w:t>
            </w:r>
          </w:p>
        </w:tc>
        <w:tc>
          <w:tcPr>
            <w:tcW w:w="1134" w:type="dxa"/>
            <w:tcBorders>
              <w:top w:val="single" w:sz="4" w:space="0" w:color="auto"/>
              <w:left w:val="single" w:sz="4" w:space="0" w:color="auto"/>
              <w:bottom w:val="single" w:sz="4" w:space="0" w:color="auto"/>
              <w:right w:val="single" w:sz="4" w:space="0" w:color="auto"/>
            </w:tcBorders>
          </w:tcPr>
          <w:p w14:paraId="33ECF964" w14:textId="77777777" w:rsidR="006E0F4F" w:rsidRPr="00043375" w:rsidRDefault="006E0F4F"/>
        </w:tc>
        <w:tc>
          <w:tcPr>
            <w:tcW w:w="6520" w:type="dxa"/>
            <w:tcBorders>
              <w:top w:val="single" w:sz="4" w:space="0" w:color="auto"/>
              <w:left w:val="single" w:sz="4" w:space="0" w:color="auto"/>
              <w:bottom w:val="single" w:sz="4" w:space="0" w:color="auto"/>
              <w:right w:val="single" w:sz="4" w:space="0" w:color="auto"/>
            </w:tcBorders>
          </w:tcPr>
          <w:p w14:paraId="2528361D" w14:textId="77777777" w:rsidR="006E0F4F" w:rsidRPr="00043375" w:rsidRDefault="006E0F4F">
            <w:pPr>
              <w:spacing w:before="100" w:beforeAutospacing="1" w:after="100" w:afterAutospacing="1"/>
            </w:pPr>
          </w:p>
        </w:tc>
      </w:tr>
      <w:tr w:rsidR="006E0F4F" w:rsidRPr="00043375" w14:paraId="41B328BF"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tcPr>
          <w:p w14:paraId="56234F74" w14:textId="031527B5" w:rsidR="006E0F4F" w:rsidRPr="00FA26F1" w:rsidRDefault="006E0F4F" w:rsidP="00634DE4">
            <w:pPr>
              <w:pStyle w:val="ListParagraph"/>
              <w:numPr>
                <w:ilvl w:val="0"/>
                <w:numId w:val="2"/>
              </w:numPr>
              <w:tabs>
                <w:tab w:val="clear" w:pos="426"/>
                <w:tab w:val="left" w:pos="720"/>
              </w:tabs>
              <w:spacing w:after="160" w:line="252" w:lineRule="auto"/>
              <w:contextualSpacing/>
              <w:rPr>
                <w:rFonts w:ascii="Arial" w:hAnsi="Arial" w:cs="Arial"/>
                <w:bCs/>
              </w:rPr>
            </w:pPr>
            <w:r w:rsidRPr="00B9709F">
              <w:rPr>
                <w:rFonts w:ascii="Arial" w:hAnsi="Arial" w:cs="Arial"/>
                <w:bCs/>
                <w:color w:val="auto"/>
              </w:rPr>
              <w:t xml:space="preserve">That the Council reconsiders its proposed involvement in, and funding of, the Fibre to Homes initiative with a view to exploring whether there is a strong enough case for the Council to pursue it given the already sufficient internet speeds available in the properties in question and the limited availability of Council resources, which could be put to better use offsetting proposed cuts in other areas.  </w:t>
            </w:r>
          </w:p>
        </w:tc>
        <w:tc>
          <w:tcPr>
            <w:tcW w:w="1134" w:type="dxa"/>
            <w:tcBorders>
              <w:top w:val="single" w:sz="4" w:space="0" w:color="auto"/>
              <w:left w:val="single" w:sz="4" w:space="0" w:color="auto"/>
              <w:bottom w:val="single" w:sz="4" w:space="0" w:color="auto"/>
              <w:right w:val="single" w:sz="4" w:space="0" w:color="auto"/>
            </w:tcBorders>
          </w:tcPr>
          <w:p w14:paraId="23AC0BE7" w14:textId="77777777" w:rsidR="006E0F4F" w:rsidRPr="00043375" w:rsidRDefault="006E0F4F"/>
        </w:tc>
        <w:tc>
          <w:tcPr>
            <w:tcW w:w="6520" w:type="dxa"/>
            <w:tcBorders>
              <w:top w:val="single" w:sz="4" w:space="0" w:color="auto"/>
              <w:left w:val="single" w:sz="4" w:space="0" w:color="auto"/>
              <w:bottom w:val="single" w:sz="4" w:space="0" w:color="auto"/>
              <w:right w:val="single" w:sz="4" w:space="0" w:color="auto"/>
            </w:tcBorders>
          </w:tcPr>
          <w:p w14:paraId="1A5172F0" w14:textId="77777777" w:rsidR="006E0F4F" w:rsidRPr="00043375" w:rsidRDefault="006E0F4F">
            <w:pPr>
              <w:spacing w:before="100" w:beforeAutospacing="1" w:after="100" w:afterAutospacing="1"/>
            </w:pPr>
          </w:p>
        </w:tc>
      </w:tr>
      <w:tr w:rsidR="006E0F4F" w:rsidRPr="00043375" w14:paraId="795CDB86"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tcPr>
          <w:p w14:paraId="2673C1F8" w14:textId="2750B156" w:rsidR="006E0F4F" w:rsidRPr="00FA26F1" w:rsidRDefault="006E0F4F" w:rsidP="00634DE4">
            <w:pPr>
              <w:pStyle w:val="ListParagraph"/>
              <w:numPr>
                <w:ilvl w:val="0"/>
                <w:numId w:val="2"/>
              </w:numPr>
              <w:tabs>
                <w:tab w:val="clear" w:pos="426"/>
                <w:tab w:val="left" w:pos="720"/>
              </w:tabs>
              <w:spacing w:after="160" w:line="252" w:lineRule="auto"/>
              <w:contextualSpacing/>
              <w:rPr>
                <w:rFonts w:ascii="Arial" w:hAnsi="Arial" w:cs="Arial"/>
                <w:bCs/>
              </w:rPr>
            </w:pPr>
            <w:r w:rsidRPr="00B9709F">
              <w:rPr>
                <w:rFonts w:ascii="Arial" w:hAnsi="Arial" w:cs="Arial"/>
                <w:bCs/>
                <w:color w:val="auto"/>
              </w:rPr>
              <w:t>That the Council includes data on children when undertaking data collection related to domestic abuse and homelessness going forward.</w:t>
            </w:r>
          </w:p>
        </w:tc>
        <w:tc>
          <w:tcPr>
            <w:tcW w:w="1134" w:type="dxa"/>
            <w:tcBorders>
              <w:top w:val="single" w:sz="4" w:space="0" w:color="auto"/>
              <w:left w:val="single" w:sz="4" w:space="0" w:color="auto"/>
              <w:bottom w:val="single" w:sz="4" w:space="0" w:color="auto"/>
              <w:right w:val="single" w:sz="4" w:space="0" w:color="auto"/>
            </w:tcBorders>
          </w:tcPr>
          <w:p w14:paraId="41E520EF" w14:textId="77777777" w:rsidR="006E0F4F" w:rsidRPr="00043375" w:rsidRDefault="006E0F4F"/>
        </w:tc>
        <w:tc>
          <w:tcPr>
            <w:tcW w:w="6520" w:type="dxa"/>
            <w:tcBorders>
              <w:top w:val="single" w:sz="4" w:space="0" w:color="auto"/>
              <w:left w:val="single" w:sz="4" w:space="0" w:color="auto"/>
              <w:bottom w:val="single" w:sz="4" w:space="0" w:color="auto"/>
              <w:right w:val="single" w:sz="4" w:space="0" w:color="auto"/>
            </w:tcBorders>
          </w:tcPr>
          <w:p w14:paraId="0E2D4280" w14:textId="77777777" w:rsidR="006E0F4F" w:rsidRPr="00043375" w:rsidRDefault="006E0F4F">
            <w:pPr>
              <w:spacing w:before="100" w:beforeAutospacing="1" w:after="100" w:afterAutospacing="1"/>
            </w:pPr>
          </w:p>
        </w:tc>
      </w:tr>
      <w:tr w:rsidR="006E0F4F" w:rsidRPr="00043375" w14:paraId="272A980B" w14:textId="77777777" w:rsidTr="00634DE4">
        <w:trPr>
          <w:trHeight w:val="1060"/>
        </w:trPr>
        <w:tc>
          <w:tcPr>
            <w:tcW w:w="6629" w:type="dxa"/>
            <w:tcBorders>
              <w:top w:val="single" w:sz="4" w:space="0" w:color="auto"/>
              <w:left w:val="single" w:sz="4" w:space="0" w:color="auto"/>
              <w:bottom w:val="single" w:sz="4" w:space="0" w:color="auto"/>
              <w:right w:val="single" w:sz="4" w:space="0" w:color="auto"/>
            </w:tcBorders>
          </w:tcPr>
          <w:p w14:paraId="71A5EB71" w14:textId="2A9795B6" w:rsidR="006E0F4F" w:rsidRPr="00FA26F1" w:rsidRDefault="006E0F4F" w:rsidP="00634DE4">
            <w:pPr>
              <w:pStyle w:val="ListParagraph"/>
              <w:numPr>
                <w:ilvl w:val="0"/>
                <w:numId w:val="2"/>
              </w:numPr>
              <w:tabs>
                <w:tab w:val="clear" w:pos="426"/>
                <w:tab w:val="left" w:pos="720"/>
              </w:tabs>
              <w:spacing w:after="160" w:line="252" w:lineRule="auto"/>
              <w:contextualSpacing/>
              <w:rPr>
                <w:rFonts w:ascii="Arial" w:hAnsi="Arial" w:cs="Arial"/>
                <w:bCs/>
              </w:rPr>
            </w:pPr>
            <w:r w:rsidRPr="00B9709F">
              <w:rPr>
                <w:rFonts w:ascii="Arial" w:hAnsi="Arial" w:cs="Arial"/>
                <w:bCs/>
                <w:color w:val="auto"/>
              </w:rPr>
              <w:t>That the Council compiles information to share with the future Government about the issues faced by local government as a result of a lack of coordination between Central Government departments, which could be solved by those departments communicating, collaborating and cooperating around policy development where there was direct or indirect overlap.</w:t>
            </w:r>
          </w:p>
        </w:tc>
        <w:tc>
          <w:tcPr>
            <w:tcW w:w="1134" w:type="dxa"/>
            <w:tcBorders>
              <w:top w:val="single" w:sz="4" w:space="0" w:color="auto"/>
              <w:left w:val="single" w:sz="4" w:space="0" w:color="auto"/>
              <w:bottom w:val="single" w:sz="4" w:space="0" w:color="auto"/>
              <w:right w:val="single" w:sz="4" w:space="0" w:color="auto"/>
            </w:tcBorders>
          </w:tcPr>
          <w:p w14:paraId="05464125" w14:textId="77777777" w:rsidR="006E0F4F" w:rsidRPr="00043375" w:rsidRDefault="006E0F4F"/>
        </w:tc>
        <w:tc>
          <w:tcPr>
            <w:tcW w:w="6520" w:type="dxa"/>
            <w:tcBorders>
              <w:top w:val="single" w:sz="4" w:space="0" w:color="auto"/>
              <w:left w:val="single" w:sz="4" w:space="0" w:color="auto"/>
              <w:bottom w:val="single" w:sz="4" w:space="0" w:color="auto"/>
              <w:right w:val="single" w:sz="4" w:space="0" w:color="auto"/>
            </w:tcBorders>
          </w:tcPr>
          <w:p w14:paraId="733DDBEA" w14:textId="77777777" w:rsidR="006E0F4F" w:rsidRPr="00043375" w:rsidRDefault="006E0F4F">
            <w:pPr>
              <w:spacing w:before="100" w:beforeAutospacing="1" w:after="100" w:afterAutospacing="1"/>
            </w:pPr>
          </w:p>
        </w:tc>
      </w:tr>
      <w:tr w:rsidR="006E0F4F" w:rsidRPr="00043375" w14:paraId="35798025" w14:textId="77777777" w:rsidTr="009D12EB">
        <w:trPr>
          <w:trHeight w:val="699"/>
        </w:trPr>
        <w:tc>
          <w:tcPr>
            <w:tcW w:w="6629" w:type="dxa"/>
            <w:tcBorders>
              <w:top w:val="single" w:sz="4" w:space="0" w:color="auto"/>
              <w:left w:val="single" w:sz="4" w:space="0" w:color="auto"/>
              <w:bottom w:val="single" w:sz="4" w:space="0" w:color="auto"/>
              <w:right w:val="single" w:sz="4" w:space="0" w:color="auto"/>
            </w:tcBorders>
          </w:tcPr>
          <w:p w14:paraId="19DDA1B8" w14:textId="066CB9B5" w:rsidR="006E0F4F" w:rsidRPr="00FA26F1" w:rsidRDefault="006E0F4F" w:rsidP="00634DE4">
            <w:pPr>
              <w:pStyle w:val="ListParagraph"/>
              <w:numPr>
                <w:ilvl w:val="0"/>
                <w:numId w:val="2"/>
              </w:numPr>
              <w:tabs>
                <w:tab w:val="clear" w:pos="426"/>
                <w:tab w:val="left" w:pos="720"/>
              </w:tabs>
              <w:spacing w:after="160" w:line="252" w:lineRule="auto"/>
              <w:contextualSpacing/>
              <w:rPr>
                <w:rFonts w:ascii="Arial" w:hAnsi="Arial" w:cs="Arial"/>
                <w:bCs/>
              </w:rPr>
            </w:pPr>
            <w:r w:rsidRPr="00B9709F">
              <w:rPr>
                <w:rFonts w:ascii="Arial" w:hAnsi="Arial" w:cs="Arial"/>
                <w:bCs/>
                <w:color w:val="auto"/>
              </w:rPr>
              <w:t xml:space="preserve">That the Council continues to lobby the Home Office to engage with Oxford City Council and local authorities more broadly in relation to asylum dispersal hotels to </w:t>
            </w:r>
            <w:r w:rsidRPr="00B9709F">
              <w:rPr>
                <w:rFonts w:ascii="Arial" w:hAnsi="Arial" w:cs="Arial"/>
                <w:bCs/>
                <w:color w:val="auto"/>
              </w:rPr>
              <w:lastRenderedPageBreak/>
              <w:t>enable more certainty around predictive modelling, resource implications and demand management.</w:t>
            </w:r>
          </w:p>
        </w:tc>
        <w:tc>
          <w:tcPr>
            <w:tcW w:w="1134" w:type="dxa"/>
            <w:tcBorders>
              <w:top w:val="single" w:sz="4" w:space="0" w:color="auto"/>
              <w:left w:val="single" w:sz="4" w:space="0" w:color="auto"/>
              <w:bottom w:val="single" w:sz="4" w:space="0" w:color="auto"/>
              <w:right w:val="single" w:sz="4" w:space="0" w:color="auto"/>
            </w:tcBorders>
          </w:tcPr>
          <w:p w14:paraId="6691DAB2" w14:textId="77777777" w:rsidR="006E0F4F" w:rsidRPr="00043375" w:rsidRDefault="006E0F4F"/>
        </w:tc>
        <w:tc>
          <w:tcPr>
            <w:tcW w:w="6520" w:type="dxa"/>
            <w:tcBorders>
              <w:top w:val="single" w:sz="4" w:space="0" w:color="auto"/>
              <w:left w:val="single" w:sz="4" w:space="0" w:color="auto"/>
              <w:bottom w:val="single" w:sz="4" w:space="0" w:color="auto"/>
              <w:right w:val="single" w:sz="4" w:space="0" w:color="auto"/>
            </w:tcBorders>
          </w:tcPr>
          <w:p w14:paraId="047FCA1D" w14:textId="77777777" w:rsidR="006E0F4F" w:rsidRPr="00043375" w:rsidRDefault="006E0F4F">
            <w:pPr>
              <w:spacing w:before="100" w:beforeAutospacing="1" w:after="100" w:afterAutospacing="1"/>
            </w:pPr>
          </w:p>
        </w:tc>
      </w:tr>
    </w:tbl>
    <w:p w14:paraId="0EC56DB8" w14:textId="77777777" w:rsidR="00043375" w:rsidRPr="00043375" w:rsidRDefault="00043375" w:rsidP="008A22C6">
      <w:pPr>
        <w:rPr>
          <w:b/>
          <w:sz w:val="28"/>
          <w:u w:val="single"/>
        </w:rPr>
      </w:pPr>
    </w:p>
    <w:p w14:paraId="470EE05E" w14:textId="77777777" w:rsidR="00043375" w:rsidRPr="00043375" w:rsidRDefault="00043375" w:rsidP="008A22C6">
      <w:pPr>
        <w:rPr>
          <w:b/>
          <w:sz w:val="28"/>
          <w:u w:val="single"/>
        </w:rPr>
      </w:pPr>
    </w:p>
    <w:p w14:paraId="20C25CA7" w14:textId="77777777" w:rsidR="00043375" w:rsidRPr="00043375" w:rsidRDefault="00043375" w:rsidP="008A22C6">
      <w:pPr>
        <w:rPr>
          <w:b/>
          <w:sz w:val="28"/>
          <w:u w:val="single"/>
        </w:rPr>
      </w:pPr>
    </w:p>
    <w:p w14:paraId="5B6938B9" w14:textId="77777777" w:rsidR="00043375" w:rsidRPr="00043375" w:rsidRDefault="00043375" w:rsidP="008A22C6">
      <w:pPr>
        <w:rPr>
          <w:b/>
          <w:sz w:val="28"/>
          <w:u w:val="single"/>
        </w:rPr>
      </w:pPr>
    </w:p>
    <w:p w14:paraId="6EB20B0A" w14:textId="77777777" w:rsidR="00043375" w:rsidRPr="00043375" w:rsidRDefault="00043375" w:rsidP="008A22C6">
      <w:pPr>
        <w:rPr>
          <w:b/>
          <w:sz w:val="28"/>
          <w:u w:val="single"/>
        </w:rPr>
      </w:pPr>
    </w:p>
    <w:p w14:paraId="4A78D949" w14:textId="77777777"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98365C6"/>
    <w:multiLevelType w:val="multilevel"/>
    <w:tmpl w:val="E67CE66C"/>
    <w:numStyleLink w:val="StyleNumberedLeft0cmHanging075cm"/>
  </w:abstractNum>
  <w:num w:numId="1" w16cid:durableId="1473909381">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1232085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282356">
    <w:abstractNumId w:val="0"/>
  </w:num>
  <w:num w:numId="4" w16cid:durableId="19609165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20367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8801198">
    <w:abstractNumId w:val="1"/>
  </w:num>
  <w:num w:numId="7" w16cid:durableId="622150913">
    <w:abstractNumId w:val="3"/>
  </w:num>
  <w:num w:numId="8" w16cid:durableId="709648898">
    <w:abstractNumId w:val="5"/>
  </w:num>
  <w:num w:numId="9" w16cid:durableId="16046528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75"/>
    <w:rsid w:val="00043375"/>
    <w:rsid w:val="000B4310"/>
    <w:rsid w:val="001D5BD4"/>
    <w:rsid w:val="00210DEA"/>
    <w:rsid w:val="004000D7"/>
    <w:rsid w:val="00504E43"/>
    <w:rsid w:val="005B7D4C"/>
    <w:rsid w:val="005D2131"/>
    <w:rsid w:val="005F17FD"/>
    <w:rsid w:val="00634DE4"/>
    <w:rsid w:val="006E0F4F"/>
    <w:rsid w:val="007908F4"/>
    <w:rsid w:val="00803FCC"/>
    <w:rsid w:val="00835A37"/>
    <w:rsid w:val="008A22C6"/>
    <w:rsid w:val="008F40DD"/>
    <w:rsid w:val="009D12EB"/>
    <w:rsid w:val="00A10C33"/>
    <w:rsid w:val="00AF05DF"/>
    <w:rsid w:val="00C07F80"/>
    <w:rsid w:val="00ED3286"/>
    <w:rsid w:val="00FD19F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485F"/>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97458-39B7-4A66-8C49-A095B417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COURTNEY Alice</cp:lastModifiedBy>
  <cp:revision>14</cp:revision>
  <dcterms:created xsi:type="dcterms:W3CDTF">2022-03-28T13:19:00Z</dcterms:created>
  <dcterms:modified xsi:type="dcterms:W3CDTF">2024-02-01T18:25:00Z</dcterms:modified>
</cp:coreProperties>
</file>